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4"/>
        <w:gridCol w:w="4286"/>
        <w:gridCol w:w="2553"/>
        <w:gridCol w:w="2976"/>
        <w:gridCol w:w="3119"/>
        <w:gridCol w:w="1982"/>
      </w:tblGrid>
      <w:tr>
        <w:trPr>
          <w:trHeight w:val="983" w:hRule="exact"/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ŠVP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Činnosti, metódy a forma práce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Rozvíjané kompetencie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Prierezové témy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Medzipredmetové vzťahy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Softvér a hardvér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Úvodná hodina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Bezpečnosť pri práci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Bezpečnostné predpisy v učebni 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poznať a rešpektovať pravidlá vhodného správania sa pri počítači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pomenovať časti počítača a periférne zariadenia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zapnúť a bezpečne vypnúť počítač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pohybovať s myšou, dostať sa ňou na určené miesto, ovládať klik aj dvojklik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spustiť a ukončiť program</w:t>
            </w:r>
          </w:p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/>
            </w:pPr>
            <w:r>
              <w:rPr/>
              <w:t>-získava a spracováva nové informácie a uplatňuje rôzne stratégie učenia sa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sociálne a personálne</w:t>
            </w:r>
          </w:p>
          <w:p>
            <w:pPr>
              <w:pStyle w:val="Normal"/>
              <w:rPr/>
            </w:pPr>
            <w:r>
              <w:rPr/>
              <w:t>-efektívne spolupracuje v skupine, uvedomuje si svoju zodpovednosť v tíme, kde dokáže tvorivo prispievať pri dosahovaní spoločných cieľov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OŽZ - dodržiavanie zásad</w:t>
            </w:r>
          </w:p>
          <w:p>
            <w:pPr>
              <w:pStyle w:val="Normal"/>
              <w:rPr/>
            </w:pPr>
            <w:r>
              <w:rPr/>
              <w:t>bezpečnosti v učebni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OSR - komunikácia, rozvoj spolupráce, vzájomná pomoc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práce s PC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Bezpečnostné predpisy pri práci s počítačom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Počítač a prídavné zariadenia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Počítač a periférne zariadenia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Rôzna funkčnosť klávesov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Ovládanie programov myšou, pomocou klávesnice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Reprezentácia a nástroje – práca s grafikou</w:t>
            </w:r>
          </w:p>
        </w:tc>
      </w:tr>
      <w:tr>
        <w:trPr>
          <w:trHeight w:val="699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Grafické editory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Zoznámenie sa s novým grafickým editorom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vybrať z palety farieb a vyplniť plochy obrázkov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premiestniť a otlačiť pečiatku na určenom mieste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nakresliť čiaru rôznymi smermi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pomocou nástrojov Čiara a Výplň nakresliť rôzne obrázky,  použiť nástroj Späť, meniť farbu pomocou palety, použiť rôzne hrúbky čiar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pomocou rovných čiar nakresliť geom. útvary a jednoduché obrázky, vymaľovať ich nástroj Výplň,  použiť rôzne hrúbky čiar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kresliť kruhy, ovály, štvorce a obdĺžniky (aj vyplnené), použiť kláves Shift, vedieť kresliť útvary na určené miesto</w:t>
            </w:r>
          </w:p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/>
            </w:pPr>
            <w:r>
              <w:rPr/>
              <w:t>-uvedomuje si potrebu učenia sa ako prostriedku sebarealizácie a osobného rozvoja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v oblasti informačných a komunikačných technológií</w:t>
            </w:r>
          </w:p>
          <w:p>
            <w:pPr>
              <w:pStyle w:val="Normal"/>
              <w:rPr/>
            </w:pPr>
            <w:r>
              <w:rPr/>
              <w:t>-uvedomuje si rozdiel medzi reálnym a virtuálnym svetom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uplatňovať matematické myslenie</w:t>
            </w:r>
          </w:p>
          <w:p>
            <w:pPr>
              <w:pStyle w:val="Normal"/>
              <w:rPr/>
            </w:pPr>
            <w:r>
              <w:rPr/>
              <w:t>- používa základy prírodovednej gramotnosti, ktorá mu umožní robiť vedecky podložené úsudky, pričom vie použiť získané operačné vedomosti na úspešné riešenie problémov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OSR - komunikácia, rozvoj spolupráce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ENV – osvojenie si nových informácií prostredníctvom IKT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TOL – rozvoj spolupráce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MAT, VYV</w:t>
            </w:r>
          </w:p>
        </w:tc>
      </w:tr>
      <w:tr>
        <w:trPr>
          <w:trHeight w:val="69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Kreslenie myšou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Kreslíme pomocou myši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Práca s obrázkom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Používanie lupy, veľkosť papiera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Geometrické tvary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Obdĺžniky, kruhy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Kreslenie od ruky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Nástroj kreslenie od ruky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Gumovanie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Nástroj gumovanie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farieb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Farby a veľkosť hrotu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Výber farby z obrázka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Režim naberanie farby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Nástroj oblasť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Používanie nástroja Oblasť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Označenie a presúvanie oblasti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Priesvitný a nepriesvitný režim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Kopírovanie oblasti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Nástroj kopírovanie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Animácia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Séria obrovázkp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Reprezentácia a nástroje – práca s textom</w:t>
            </w:r>
          </w:p>
        </w:tc>
      </w:tr>
      <w:tr>
        <w:trPr>
          <w:trHeight w:val="354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 sa používa text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Okno s textom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použiť konkrétne nástroje editora na tvorbu a úpravu textu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 xml:space="preserve">zašifrovať a rozšifrovať text podľa jednoduchých pravidiel 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riešiť problémy</w:t>
            </w:r>
          </w:p>
          <w:p>
            <w:pPr>
              <w:pStyle w:val="Normal"/>
              <w:rPr/>
            </w:pPr>
            <w:r>
              <w:rPr/>
              <w:t>-uplatňuje pri riešení problémov vhodné metódy založené na analyticko-kritickom a tvorivom myslení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-je otvorený (pri riešení problémov) získavaniu a využívaniu rôznych, aj inovatívnych postupov, formuluje argumenty a dôkazy na obhájenie svojich výsledkov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DOV - pozorovanie svojho</w:t>
            </w:r>
          </w:p>
          <w:p>
            <w:pPr>
              <w:pStyle w:val="Normal"/>
              <w:rPr/>
            </w:pPr>
            <w:r>
              <w:rPr/>
              <w:t>okolia; vyhodnocovanie</w:t>
            </w:r>
          </w:p>
          <w:p>
            <w:pPr>
              <w:pStyle w:val="Normal"/>
              <w:rPr/>
            </w:pPr>
            <w:r>
              <w:rPr/>
              <w:t>situácie z hľadiska bezpečnosti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Zmena písma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Typ písma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Píšeme text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Píšeme jednoduchý text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Textový editor - WORDPAD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Práca v editore WORDPAD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Textový editor - WORDPAD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Textový editor - WORD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Práca v editore WORD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Textový editor - WORD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Textový editor - WORD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 spolupráca</w:t>
            </w:r>
          </w:p>
        </w:tc>
      </w:tr>
      <w:tr>
        <w:trPr>
          <w:trHeight w:val="55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 je internet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Základné informácie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napísať webovú adresu, klikať na linku, pohybovať sa po webe klikaním na tlačidlo Späť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zapísať adresu detských webových stránok do miesta vo webovom prehliadači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/>
            </w:pPr>
            <w:r>
              <w:rPr/>
              <w:t>-získava a spracováva nové informácie a uplatňuje rôzne stratégie učenia sa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OSR - komunikácia, rozvoj spolupráce, vzájomná pomoc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Bezpečnosť na internete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Netiketa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 používať internet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Zoznámenie sa s internetom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Vyhľadávanie na internete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Pracujeme s internetom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Informačná spoločnosť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Digitálne technológie okolo nás, doma, v škole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Digitálne technológie doma, v škole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pracovať s CD a výučbovými programami, poznať možnosti poškodenia CD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dvojklikom otvoriť program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písať písmená a čísla, ktoré poznajú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samostatne pracovať s programom a využiť všetky dostupné nástroje</w:t>
            </w:r>
          </w:p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</w:t>
            </w:r>
            <w:r>
              <w:rPr/>
              <w:t>kriticky hodnotí svoj pokrok, prijíma spätnú väzbu a uvedomuje si svoje ďalšie rozvojové možnosti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Sociálne komunikačné kompetencie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>efektívne využíva dostupné informačno-komunikačné technológie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-vie prezentovať sám seba a výsledky svojej práce na verejnosti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DOV - pozorovanie svojho</w:t>
            </w:r>
          </w:p>
          <w:p>
            <w:pPr>
              <w:pStyle w:val="Normal"/>
              <w:rPr/>
            </w:pPr>
            <w:r>
              <w:rPr/>
              <w:t>okolia; vyhodnocovanie</w:t>
            </w:r>
          </w:p>
          <w:p>
            <w:pPr>
              <w:pStyle w:val="Normal"/>
              <w:rPr/>
            </w:pPr>
            <w:r>
              <w:rPr/>
              <w:t>situácie z hľadiska bezpečnosti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PPZ – získavanie,</w:t>
            </w:r>
          </w:p>
          <w:p>
            <w:pPr>
              <w:pStyle w:val="Normal"/>
              <w:rPr/>
            </w:pPr>
            <w:r>
              <w:rPr/>
              <w:t>zhromažďovanie a triedenie</w:t>
            </w:r>
          </w:p>
          <w:p>
            <w:pPr>
              <w:pStyle w:val="Normal"/>
              <w:rPr/>
            </w:pPr>
            <w:r>
              <w:rPr/>
              <w:t xml:space="preserve">informácií, prezentovanie svojich produktov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Praktické využitie digitálnych technológií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Pomoc digitálnych technológií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náučných softvérov – Detský kútik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Používanie detských softvérov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náučných softvérov – Detský kútik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náučných softvérov – Detský kútik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Opakovanie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Výstupný pracovný list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284" w:hanging="0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560" w:right="1417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9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06972"/>
    <w:rPr>
      <w:rFonts w:ascii="Tahoma" w:hAnsi="Tahoma" w:eastAsia="Times New Roman" w:cs="Tahoma"/>
      <w:sz w:val="16"/>
      <w:szCs w:val="16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43a29"/>
    <w:rPr>
      <w:rFonts w:eastAsia="" w:cs="Times New Roman" w:eastAsiaTheme="minorEastAsia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5514d2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697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213"/>
    <w:pPr>
      <w:spacing w:before="0" w:after="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c43a29"/>
    <w:pPr>
      <w:tabs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" w:asciiTheme="minorHAns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1FCE-7453-4508-94A1-4D02BFCB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LibreOffice/5.1.0.3$Windows_x86 LibreOffice_project/5e3e00a007d9b3b6efb6797a8b8e57b51ab1f737</Application>
  <Pages>3</Pages>
  <Words>808</Words>
  <CharactersWithSpaces>4606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2013-10-21T22:16:00Z</dcterms:created>
  <dc:creator>zoli</dc:creator>
  <dc:description/>
  <dc:language>sk-SK</dc:language>
  <cp:lastModifiedBy>Acer</cp:lastModifiedBy>
  <dcterms:modified xsi:type="dcterms:W3CDTF">2016-09-25T22:36:00Z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